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7E" w:rsidRPr="00DA0FEB" w:rsidRDefault="00AB24FE" w:rsidP="004435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357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Corporate action notice/Insider information disclosure "Information on resolutons taken by the Board of Directors of IDGC of the South, PJSC"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389"/>
        <w:gridCol w:w="2116"/>
        <w:gridCol w:w="1444"/>
        <w:gridCol w:w="7"/>
      </w:tblGrid>
      <w:tr w:rsidR="006942DE" w:rsidTr="00AB24FE">
        <w:trPr>
          <w:gridAfter w:val="1"/>
          <w:wAfter w:w="7" w:type="dxa"/>
          <w:trHeight w:val="20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57E" w:rsidRPr="0044357E" w:rsidRDefault="00AB24FE" w:rsidP="0044357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6942DE" w:rsidRPr="00DA0FEB" w:rsidTr="00AB24FE">
        <w:trPr>
          <w:gridAfter w:val="1"/>
          <w:wAfter w:w="7" w:type="dxa"/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57E" w:rsidRPr="00DA0FEB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57E" w:rsidRPr="00DA0FEB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Public Joint Stock Company "Interregional Distribution Grid </w:t>
            </w: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Company of the South”</w:t>
            </w:r>
          </w:p>
        </w:tc>
      </w:tr>
      <w:tr w:rsidR="006942DE" w:rsidRPr="00DA0FEB" w:rsidTr="00AB24FE">
        <w:trPr>
          <w:gridAfter w:val="1"/>
          <w:wAfter w:w="7" w:type="dxa"/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57E" w:rsidRPr="00DA0FEB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57E" w:rsidRPr="00DA0FEB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IDGC of the South, PJSC</w:t>
            </w:r>
          </w:p>
        </w:tc>
      </w:tr>
      <w:tr w:rsidR="006942DE" w:rsidRPr="00DA0FEB" w:rsidTr="00AB24FE">
        <w:trPr>
          <w:gridAfter w:val="1"/>
          <w:wAfter w:w="7" w:type="dxa"/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57E" w:rsidRPr="0044357E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57E" w:rsidRPr="00DA0FEB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Rostov-on-Don, Russian Federation</w:t>
            </w:r>
          </w:p>
        </w:tc>
      </w:tr>
      <w:tr w:rsidR="006942DE" w:rsidTr="00AB24FE">
        <w:trPr>
          <w:gridAfter w:val="1"/>
          <w:wAfter w:w="7" w:type="dxa"/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57E" w:rsidRPr="0044357E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57E" w:rsidRPr="0044357E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1076164009096</w:t>
            </w:r>
          </w:p>
        </w:tc>
      </w:tr>
      <w:tr w:rsidR="006942DE" w:rsidTr="00AB24FE">
        <w:trPr>
          <w:gridAfter w:val="1"/>
          <w:wAfter w:w="7" w:type="dxa"/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57E" w:rsidRPr="0044357E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57E" w:rsidRPr="0044357E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6164266561</w:t>
            </w:r>
          </w:p>
        </w:tc>
      </w:tr>
      <w:tr w:rsidR="006942DE" w:rsidTr="00AB24FE">
        <w:trPr>
          <w:gridAfter w:val="1"/>
          <w:wAfter w:w="7" w:type="dxa"/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57E" w:rsidRPr="00DA0FEB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code of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the Issuer, assigned by the registering authority: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57E" w:rsidRPr="0044357E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34956-Е</w:t>
            </w:r>
          </w:p>
        </w:tc>
      </w:tr>
      <w:tr w:rsidR="006942DE" w:rsidRPr="00DA0FEB" w:rsidTr="00AB24FE">
        <w:trPr>
          <w:gridAfter w:val="1"/>
          <w:wAfter w:w="7" w:type="dxa"/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57E" w:rsidRPr="00DA0FEB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57E" w:rsidRPr="0044357E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</w:t>
              </w:r>
              <w:r w:rsidRPr="00DA0FE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://</w:t>
              </w:r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www</w:t>
              </w:r>
              <w:r w:rsidRPr="00DA0FE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.</w:t>
              </w:r>
              <w:proofErr w:type="spellStart"/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mrsk</w:t>
              </w:r>
              <w:proofErr w:type="spellEnd"/>
              <w:r w:rsidRPr="00DA0FE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-</w:t>
              </w:r>
              <w:proofErr w:type="spellStart"/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yu</w:t>
              </w:r>
              <w:proofErr w:type="spellEnd"/>
              <w:r w:rsidRPr="00DA0FE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2</w:t>
              </w:r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a</w:t>
              </w:r>
              <w:r w:rsidRPr="00DA0FE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.</w:t>
              </w:r>
              <w:proofErr w:type="spellStart"/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357E" w:rsidRPr="0044357E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http</w:t>
              </w:r>
              <w:r w:rsidRPr="00DA0F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://</w:t>
              </w:r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DA0F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.</w:t>
              </w:r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e</w:t>
              </w:r>
              <w:r w:rsidRPr="00DA0F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-</w:t>
              </w:r>
            </w:hyperlink>
          </w:p>
          <w:p w:rsidR="0044357E" w:rsidRPr="0044357E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disclosure.ru/portal/</w:t>
              </w:r>
              <w:proofErr w:type="spellStart"/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company.aspx?id</w:t>
              </w:r>
              <w:proofErr w:type="spellEnd"/>
              <w:r w:rsidRPr="004435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=11999</w:t>
              </w:r>
            </w:hyperlink>
          </w:p>
        </w:tc>
      </w:tr>
      <w:tr w:rsidR="006942DE" w:rsidTr="00AB24FE">
        <w:trPr>
          <w:gridAfter w:val="1"/>
          <w:wAfter w:w="7" w:type="dxa"/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57E" w:rsidRPr="00DA0FEB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message is composed (if applicable):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57E" w:rsidRPr="0044357E" w:rsidRDefault="00AB24FE" w:rsidP="0044357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October 11, 2018</w:t>
            </w:r>
          </w:p>
        </w:tc>
      </w:tr>
      <w:tr w:rsidR="006942DE" w:rsidTr="00AB24FE">
        <w:trPr>
          <w:gridAfter w:val="1"/>
          <w:wAfter w:w="7" w:type="dxa"/>
          <w:trHeight w:val="20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57E" w:rsidRPr="0044357E" w:rsidRDefault="00AB24FE" w:rsidP="0044357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6942DE" w:rsidRPr="00DA0FEB" w:rsidTr="00AB24FE">
        <w:trPr>
          <w:gridAfter w:val="1"/>
          <w:wAfter w:w="7" w:type="dxa"/>
          <w:trHeight w:val="886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57E" w:rsidRPr="00DA0FEB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proofErr w:type="gramStart"/>
            <w:r w:rsidRPr="0044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11 out of 11 members of the Board of Directors participated in the </w:t>
            </w:r>
            <w:r w:rsidRPr="0044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meeting</w:t>
            </w:r>
            <w:proofErr w:type="gramEnd"/>
            <w:r w:rsidRPr="0044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gramStart"/>
            <w:r w:rsidRPr="0044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a quorum is present</w:t>
            </w:r>
            <w:proofErr w:type="gramEnd"/>
            <w:r w:rsidRPr="0044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</w:tr>
      <w:tr w:rsidR="006942DE" w:rsidTr="00AB24FE">
        <w:trPr>
          <w:gridAfter w:val="1"/>
          <w:wAfter w:w="7" w:type="dxa"/>
          <w:trHeight w:val="20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1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0 votes; 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2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10 votes;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1 vote; 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3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of the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agenda: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10 votes;</w:t>
            </w:r>
          </w:p>
          <w:p w:rsidR="0044357E" w:rsidRPr="00DA0FEB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:rsidR="0044357E" w:rsidRPr="0044357E" w:rsidRDefault="00AB24FE" w:rsidP="0044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1 vote.</w:t>
            </w:r>
          </w:p>
        </w:tc>
      </w:tr>
      <w:tr w:rsidR="006942DE" w:rsidRPr="00DA0FEB" w:rsidTr="00AB24FE">
        <w:trPr>
          <w:gridAfter w:val="1"/>
          <w:wAfter w:w="7" w:type="dxa"/>
          <w:trHeight w:val="20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57E" w:rsidRPr="00DA0FEB" w:rsidRDefault="00AB24FE" w:rsidP="0044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Insider information disclosure on issue No. 1: "On approval of the budgets of the committees of the Board of Directors of IDGC of the South, PJSC for the 2nd half of 2018"</w:t>
            </w:r>
          </w:p>
        </w:tc>
      </w:tr>
      <w:tr w:rsidR="006942DE" w:rsidRPr="00DA0FEB" w:rsidTr="00AB24FE">
        <w:trPr>
          <w:gridAfter w:val="1"/>
          <w:wAfter w:w="7" w:type="dxa"/>
          <w:trHeight w:val="20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57E" w:rsidRPr="00DA0FEB" w:rsidRDefault="00AB24FE" w:rsidP="0044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2.2.1.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Resolution content adopted by the Issuer's Board of Directors:</w:t>
            </w:r>
          </w:p>
          <w:p w:rsidR="0044357E" w:rsidRPr="00DA0FEB" w:rsidRDefault="00AB24FE" w:rsidP="004435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Approve the budget of the Audit Committee of the Board of Directors of IDGC of the South, PJSC for the second half of 2018 in accordance with Annex No. 1 </w:t>
            </w:r>
            <w:r w:rsidR="00702204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to this resolution of the Company's Board of Directors.</w:t>
            </w:r>
          </w:p>
          <w:p w:rsidR="0044357E" w:rsidRPr="00DA0FEB" w:rsidRDefault="00AB24FE" w:rsidP="004435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Approve the budget of the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Human Resources and Remuneration Committee of the Board of Directors of IDGC of the South, PJSC for the second half of 2018 </w:t>
            </w:r>
            <w:r w:rsid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in accordance with Annex No. </w:t>
            </w:r>
            <w:proofErr w:type="gramStart"/>
            <w:r w:rsid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 </w:t>
            </w:r>
            <w:r w:rsidR="00702204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</w:t>
            </w:r>
            <w:proofErr w:type="gramEnd"/>
            <w:r w:rsidR="00702204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this resolution of the Company's Board of Directors.</w:t>
            </w:r>
          </w:p>
          <w:p w:rsidR="0044357E" w:rsidRPr="00DA0FEB" w:rsidRDefault="00AB24FE" w:rsidP="004435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Approve the budget of the Committee for Strategy, Development, Investment and Reform of t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he Board of Directors of IDGC of the South, PJSC for the second half of 2018 in accordance with Annex No. 3 to this resolution of the Company's Board of Directors.</w:t>
            </w:r>
          </w:p>
          <w:p w:rsidR="00DA0FEB" w:rsidRDefault="00AB24FE" w:rsidP="00DA0F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4. Approve the budget of the Committee for Technological Connection to</w:t>
            </w:r>
            <w:r w:rsidR="00DA0FEB" w:rsidRPr="00DA0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DA0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electric grids of </w:t>
            </w:r>
            <w:r w:rsidR="00DA0FEB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the Board of Directors of IDGC of the South</w:t>
            </w:r>
            <w:r w:rsidR="00DA0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DA0FEB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PJSC for the second half of 201</w:t>
            </w:r>
            <w:r w:rsid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8 in accordance with Annex No. 4</w:t>
            </w:r>
            <w:r w:rsidR="00DA0FEB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 this resolution of the Company's Board of Directors.</w:t>
            </w:r>
          </w:p>
          <w:p w:rsidR="00702204" w:rsidRPr="00DA0FEB" w:rsidRDefault="00702204" w:rsidP="00DA0F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5.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Approve the budget of the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Committee fo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 Reliability the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Board of Directors of IDGC of the South, PJSC for the second half of 2018 in accordance with Annex No.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5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to this resolution of the Company's Board of Directors.</w:t>
            </w:r>
          </w:p>
          <w:p w:rsidR="0044357E" w:rsidRPr="00DA0FEB" w:rsidRDefault="00AB24FE" w:rsidP="004435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702204" w:rsidRPr="00DA0FEB" w:rsidTr="00AB24FE">
        <w:trPr>
          <w:gridAfter w:val="1"/>
          <w:wAfter w:w="7" w:type="dxa"/>
          <w:trHeight w:val="20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04" w:rsidRPr="00702204" w:rsidRDefault="00702204" w:rsidP="0070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lastRenderedPageBreak/>
              <w:t>Insider infor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mation disclosure on issue No. 2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: "On 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additional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792F57"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bonus award 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of Director 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General 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of IDGC of the South, PJSC</w:t>
            </w:r>
            <w:r w:rsidRP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“</w:t>
            </w:r>
          </w:p>
        </w:tc>
      </w:tr>
      <w:tr w:rsidR="00702204" w:rsidRPr="00DA0FEB" w:rsidTr="00AB24FE">
        <w:trPr>
          <w:gridAfter w:val="1"/>
          <w:wAfter w:w="7" w:type="dxa"/>
          <w:trHeight w:val="1003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04" w:rsidRDefault="00702204" w:rsidP="0070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2.2.2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Resolution content adopted by the Issuer's Board of Directors:</w:t>
            </w:r>
          </w:p>
          <w:p w:rsidR="00702204" w:rsidRPr="00702204" w:rsidRDefault="00792F57" w:rsidP="00792F5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In accordance with cl.3.4 of Regulation on material incentive for </w:t>
            </w:r>
            <w:r w:rsidRP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Director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General </w:t>
            </w:r>
            <w:r w:rsidRP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IDGC of the South, PJSC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 pay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additional</w:t>
            </w:r>
            <w:r w:rsidRP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bonus award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 </w:t>
            </w:r>
            <w:r w:rsidRP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Director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General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of IDGC of the South, PJSC according to Annex No. 6 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to this resolution of the Company's Board of Directors.</w:t>
            </w:r>
            <w:hyperlink r:id="rId8" w:history="1"/>
          </w:p>
        </w:tc>
      </w:tr>
      <w:tr w:rsidR="00792F57" w:rsidRPr="00DA0FEB" w:rsidTr="00AB24FE">
        <w:trPr>
          <w:gridAfter w:val="1"/>
          <w:wAfter w:w="7" w:type="dxa"/>
          <w:trHeight w:val="648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57" w:rsidRPr="00792F57" w:rsidRDefault="00792F57" w:rsidP="0079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Insider information disclosure on issue No. 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: "On additional bonus award of Director General of IDGC of the South, PJSC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for performance of strategically important task</w:t>
            </w:r>
            <w:r w:rsidRPr="00792F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“</w:t>
            </w:r>
          </w:p>
        </w:tc>
      </w:tr>
      <w:tr w:rsidR="00792F57" w:rsidRPr="00DA0FEB" w:rsidTr="00AB24FE">
        <w:trPr>
          <w:gridAfter w:val="1"/>
          <w:wAfter w:w="7" w:type="dxa"/>
          <w:trHeight w:val="1003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57" w:rsidRDefault="00792F57" w:rsidP="0079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2.2.3 </w:t>
            </w:r>
            <w:r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Resolution content adopted by the Issuer's Board of Directors: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  <w:p w:rsidR="00792F57" w:rsidRPr="00702204" w:rsidRDefault="00792F57" w:rsidP="00AB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In accordance with cl.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of Regulation on material incentive for </w:t>
            </w:r>
            <w:r w:rsidRP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Director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General </w:t>
            </w:r>
            <w:r w:rsidRPr="00702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IDGC of the South, PJSC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 pay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Ebzeyev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Boris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Borisovich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-sum bonus award</w:t>
            </w:r>
            <w:r w:rsidR="00AB2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for performance of strategically important task- providing reliable and high-quality electricity supply </w:t>
            </w:r>
            <w:bookmarkStart w:id="0" w:name="_GoBack"/>
            <w:bookmarkEnd w:id="0"/>
            <w:r w:rsidR="00AB2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to 2018 FIFA World Cup objects </w:t>
            </w:r>
            <w:r w:rsidR="00AB2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according to Annex No. </w:t>
            </w:r>
            <w:proofErr w:type="gramStart"/>
            <w:r w:rsidR="00AB2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</w:t>
            </w:r>
            <w:r w:rsidR="00AB2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</w:t>
            </w:r>
            <w:r w:rsidR="00AB24FE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to</w:t>
            </w:r>
            <w:proofErr w:type="gramEnd"/>
            <w:r w:rsidR="00AB24FE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this resolution of the Company</w:t>
            </w:r>
            <w:r w:rsidR="00AB2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’</w:t>
            </w:r>
            <w:r w:rsidR="00AB24FE" w:rsidRPr="004435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 Board of Directors.</w:t>
            </w:r>
          </w:p>
        </w:tc>
      </w:tr>
      <w:tr w:rsidR="00AB24FE" w:rsidRPr="00DA0FEB" w:rsidTr="00AB24FE">
        <w:trPr>
          <w:gridAfter w:val="1"/>
          <w:wAfter w:w="7" w:type="dxa"/>
          <w:trHeight w:val="1003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FE" w:rsidRDefault="00AB24FE" w:rsidP="0079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of the meeting of the Issuer's Board of Directors at which the relevant resolutions were adopted: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val="en-US" w:eastAsia="ru-RU"/>
              </w:rPr>
              <w:t>October 8</w:t>
            </w:r>
            <w:r w:rsidRPr="00132D3B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val="en-US" w:eastAsia="ru-RU"/>
              </w:rPr>
              <w:t>, 2018.</w:t>
            </w:r>
          </w:p>
          <w:p w:rsidR="00AB24FE" w:rsidRDefault="00AB24FE" w:rsidP="00AB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. Date and number of the minutes of the meeting of the Issuer's Board of Directors at which the relevant resolutions were adopted: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val="en-US" w:eastAsia="ru-RU"/>
              </w:rPr>
              <w:t>October 11, 2018, Minutes No. 288</w:t>
            </w:r>
            <w:r w:rsidRPr="00132D3B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val="en-US" w:eastAsia="ru-RU"/>
              </w:rPr>
              <w:t>/2018.</w:t>
            </w:r>
          </w:p>
        </w:tc>
      </w:tr>
      <w:tr w:rsidR="00AB24FE" w:rsidRPr="00DA0FEB" w:rsidTr="00AB24FE">
        <w:trPr>
          <w:gridAfter w:val="1"/>
          <w:wAfter w:w="7" w:type="dxa"/>
          <w:trHeight w:val="282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FE" w:rsidRDefault="00AB24FE" w:rsidP="00AB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AB24FE" w:rsidRPr="00132D3B" w:rsidTr="00AB24FE">
        <w:trPr>
          <w:trHeight w:val="777"/>
        </w:trPr>
        <w:tc>
          <w:tcPr>
            <w:tcW w:w="5647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AB24FE" w:rsidRPr="00201E95" w:rsidRDefault="00AB24FE" w:rsidP="0027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:rsidR="00AB24FE" w:rsidRPr="00201E95" w:rsidRDefault="00AB24FE" w:rsidP="002700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:rsidR="00AB24FE" w:rsidRPr="00201E95" w:rsidRDefault="00AB24FE" w:rsidP="002700A9">
            <w:pPr>
              <w:spacing w:after="24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  <w:p w:rsidR="00AB24FE" w:rsidRPr="00132D3B" w:rsidRDefault="00AB24FE" w:rsidP="00AB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October</w:t>
            </w: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11</w:t>
            </w: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2116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B24FE" w:rsidRPr="00132D3B" w:rsidRDefault="00AB24FE" w:rsidP="0027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  <w:vAlign w:val="bottom"/>
          </w:tcPr>
          <w:p w:rsidR="00AB24FE" w:rsidRPr="00132D3B" w:rsidRDefault="00AB24FE" w:rsidP="0027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AB24FE" w:rsidRPr="00132D3B" w:rsidTr="00AB24FE">
        <w:trPr>
          <w:trHeight w:val="212"/>
        </w:trPr>
        <w:tc>
          <w:tcPr>
            <w:tcW w:w="56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24FE" w:rsidRPr="00132D3B" w:rsidRDefault="00AB24FE" w:rsidP="0027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24FE" w:rsidRPr="00132D3B" w:rsidRDefault="00AB24FE" w:rsidP="0027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14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B24FE" w:rsidRPr="00132D3B" w:rsidRDefault="00AB24FE" w:rsidP="0027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B24FE" w:rsidRPr="00132D3B" w:rsidTr="00AB24FE">
        <w:trPr>
          <w:trHeight w:val="184"/>
        </w:trPr>
        <w:tc>
          <w:tcPr>
            <w:tcW w:w="56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4FE" w:rsidRPr="00132D3B" w:rsidRDefault="00AB24FE" w:rsidP="0027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24FE" w:rsidRPr="00132D3B" w:rsidRDefault="00AB24FE" w:rsidP="0027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L.S</w:t>
            </w:r>
            <w:r w:rsidRPr="00132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AB24FE" w:rsidRPr="00132D3B" w:rsidRDefault="00AB24FE" w:rsidP="0027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FE" w:rsidRPr="00132D3B" w:rsidRDefault="00AB24FE" w:rsidP="0027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C2AD9" w:rsidRPr="00DA0FEB" w:rsidRDefault="00AB24FE">
      <w:pPr>
        <w:rPr>
          <w:lang w:val="en-US"/>
        </w:rPr>
      </w:pPr>
    </w:p>
    <w:sectPr w:rsidR="00BC2AD9" w:rsidRPr="00DA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E"/>
    <w:rsid w:val="006942DE"/>
    <w:rsid w:val="00702204"/>
    <w:rsid w:val="00792F57"/>
    <w:rsid w:val="00AB24FE"/>
    <w:rsid w:val="00D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3F15-838D-491E-9563-3D11D49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2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material+incentive&amp;l1=1&amp;l2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2</cp:revision>
  <dcterms:created xsi:type="dcterms:W3CDTF">2019-12-25T10:59:00Z</dcterms:created>
  <dcterms:modified xsi:type="dcterms:W3CDTF">2020-01-20T13:03:00Z</dcterms:modified>
</cp:coreProperties>
</file>